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8618DC2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391FEDC5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07A6510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F203B0">
        <w:t>2. srpen</w:t>
      </w:r>
      <w:r w:rsidR="004706CF">
        <w:t xml:space="preserve"> 2018</w:t>
      </w:r>
    </w:p>
    <w:p w14:paraId="6E6316BF" w14:textId="2C7C4A6B" w:rsidR="002A18AD" w:rsidRPr="00DF456C" w:rsidRDefault="002A18AD" w:rsidP="002A18AD">
      <w:pPr>
        <w:spacing w:line="360" w:lineRule="auto"/>
        <w:rPr>
          <w:b/>
          <w:sz w:val="28"/>
          <w:szCs w:val="28"/>
        </w:rPr>
      </w:pPr>
      <w:r w:rsidRPr="00DF456C">
        <w:rPr>
          <w:b/>
          <w:sz w:val="28"/>
          <w:szCs w:val="28"/>
        </w:rPr>
        <w:t xml:space="preserve">Výhled </w:t>
      </w:r>
      <w:hyperlink r:id="rId10" w:history="1">
        <w:proofErr w:type="spellStart"/>
        <w:r w:rsidRPr="00F203B0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Pr="00F203B0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>
        <w:rPr>
          <w:rStyle w:val="Hypertextovodkaz"/>
          <w:rFonts w:cs="Arial"/>
          <w:b/>
          <w:sz w:val="28"/>
          <w:szCs w:val="28"/>
        </w:rPr>
        <w:t xml:space="preserve"> </w:t>
      </w:r>
      <w:r w:rsidRPr="00DF456C">
        <w:rPr>
          <w:b/>
          <w:sz w:val="28"/>
          <w:szCs w:val="28"/>
        </w:rPr>
        <w:t xml:space="preserve">pro akciové trhy ve 3Q 2018 </w:t>
      </w:r>
    </w:p>
    <w:p w14:paraId="15AC24D7" w14:textId="6C4BA1E4" w:rsidR="002A18AD" w:rsidRPr="002A18AD" w:rsidRDefault="002A18AD" w:rsidP="002A18AD">
      <w:pPr>
        <w:spacing w:line="360" w:lineRule="auto"/>
        <w:rPr>
          <w:rFonts w:cs="Times New Roman"/>
          <w:b/>
          <w:sz w:val="22"/>
        </w:rPr>
      </w:pPr>
      <w:r w:rsidRPr="002A18AD">
        <w:rPr>
          <w:rFonts w:cs="Times New Roman"/>
          <w:b/>
          <w:sz w:val="22"/>
        </w:rPr>
        <w:t>Světové akciové trhy jsou celkově v dobré kondici. Ačkoliv křivka trhů je v roce 2018 spíše plochá, trhy prokázaly odolnost a znovu získávají hodnoty, o které přišly v důsledku volatility na začátku roku. Průměrný růst EPS vypadá zdravě, zejména v USA</w:t>
      </w:r>
      <w:r>
        <w:rPr>
          <w:rFonts w:cs="Times New Roman"/>
          <w:b/>
          <w:sz w:val="22"/>
        </w:rPr>
        <w:t xml:space="preserve"> a na rozvíjejících se trzích. </w:t>
      </w:r>
      <w:r w:rsidRPr="002A18AD">
        <w:rPr>
          <w:rFonts w:cs="Times New Roman"/>
          <w:b/>
          <w:sz w:val="22"/>
        </w:rPr>
        <w:t>Analytici z </w:t>
      </w:r>
      <w:proofErr w:type="spellStart"/>
      <w:r w:rsidRPr="002A18AD">
        <w:rPr>
          <w:rFonts w:cs="Times New Roman"/>
          <w:b/>
          <w:sz w:val="22"/>
        </w:rPr>
        <w:t>Fidelity</w:t>
      </w:r>
      <w:proofErr w:type="spellEnd"/>
      <w:r w:rsidRPr="002A18AD">
        <w:rPr>
          <w:rFonts w:cs="Times New Roman"/>
          <w:b/>
          <w:sz w:val="22"/>
        </w:rPr>
        <w:t xml:space="preserve"> International jsou optimističtí i co se týká Asie, a to i navzdory rostoucím výnosům v USA a rostoucím rizikům v Číně. </w:t>
      </w:r>
    </w:p>
    <w:p w14:paraId="2500DBDE" w14:textId="77777777" w:rsidR="002A18AD" w:rsidRPr="002A18AD" w:rsidRDefault="002A18AD" w:rsidP="002A1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t xml:space="preserve">Globální ekonomika vysílá o své současné kondici protichůdné signály. Existují argumenty pro i proti rizikové situaci. Po strmém růstu výnosů je však nutné si uvědomit, že v mnoha oblastech nyní existuje řada potenciálních negativních faktorů. Ty mohou reálně zastínit solidní </w:t>
      </w:r>
      <w:proofErr w:type="spellStart"/>
      <w:r w:rsidRPr="002A18AD">
        <w:rPr>
          <w:rFonts w:cs="Times New Roman"/>
          <w:sz w:val="22"/>
        </w:rPr>
        <w:t>momentum</w:t>
      </w:r>
      <w:proofErr w:type="spellEnd"/>
      <w:r w:rsidRPr="002A18AD">
        <w:rPr>
          <w:rFonts w:cs="Times New Roman"/>
          <w:sz w:val="22"/>
        </w:rPr>
        <w:t xml:space="preserve">, které lze pozorovat od začátku roku 2017, a vést ke zvýšené volatilitě. </w:t>
      </w:r>
    </w:p>
    <w:p w14:paraId="2CFF8BFF" w14:textId="77777777" w:rsidR="002A18AD" w:rsidRPr="002A18AD" w:rsidRDefault="002A18AD" w:rsidP="002A1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t xml:space="preserve">Pozornost analytiků </w:t>
      </w:r>
      <w:proofErr w:type="spellStart"/>
      <w:r w:rsidRPr="002A18AD">
        <w:rPr>
          <w:rFonts w:cs="Times New Roman"/>
          <w:sz w:val="22"/>
        </w:rPr>
        <w:t>Fidelity</w:t>
      </w:r>
      <w:proofErr w:type="spellEnd"/>
      <w:r w:rsidRPr="002A18AD">
        <w:rPr>
          <w:rFonts w:cs="Times New Roman"/>
          <w:sz w:val="22"/>
        </w:rPr>
        <w:t xml:space="preserve"> International je věnována zejména omezení likvidity ze strany centrálních bank. Z kvantitativního uvolňování profitovala všechna aktiva a důsledky změny přístupu bank není snadné předvídat. Obchodní války, politická rizika a vyšší cena ropy mohou potenciálně vést k růstu inflace a ovlivnit dění na trzích. Klíčový indikátor </w:t>
      </w:r>
      <w:proofErr w:type="spellStart"/>
      <w:r w:rsidRPr="002A18AD">
        <w:rPr>
          <w:rFonts w:cs="Times New Roman"/>
          <w:sz w:val="22"/>
        </w:rPr>
        <w:t>Fidelity</w:t>
      </w:r>
      <w:proofErr w:type="spellEnd"/>
      <w:r w:rsidRPr="002A18AD">
        <w:rPr>
          <w:rFonts w:cs="Times New Roman"/>
          <w:sz w:val="22"/>
        </w:rPr>
        <w:t xml:space="preserve"> International nepředvídá okamžitý konec globálního cyklu, ale naznačuje, že úroveň růstu bude v příštích měsících výrazně pod trendem.</w:t>
      </w:r>
    </w:p>
    <w:p w14:paraId="62AA7FE4" w14:textId="77777777" w:rsidR="002A18AD" w:rsidRPr="002A18AD" w:rsidRDefault="002A18AD" w:rsidP="002A18AD">
      <w:pPr>
        <w:pStyle w:val="F2-zkladn"/>
        <w:tabs>
          <w:tab w:val="right" w:pos="9070"/>
        </w:tabs>
        <w:spacing w:line="360" w:lineRule="auto"/>
      </w:pPr>
      <w:r w:rsidRPr="002A18AD">
        <w:t xml:space="preserve">„Výhled je velmi vyvážený, ale budeme během léta pozorně sledovat trhy a nová data,“ říká Adam </w:t>
      </w:r>
      <w:proofErr w:type="spellStart"/>
      <w:r w:rsidRPr="002A18AD">
        <w:t>Lessing</w:t>
      </w:r>
      <w:proofErr w:type="spellEnd"/>
      <w:r w:rsidRPr="002A18AD">
        <w:t xml:space="preserve">, ředitel </w:t>
      </w:r>
      <w:proofErr w:type="spellStart"/>
      <w:r w:rsidRPr="002A18AD">
        <w:t>Fidelity</w:t>
      </w:r>
      <w:proofErr w:type="spellEnd"/>
      <w:r w:rsidRPr="002A18AD">
        <w:t xml:space="preserve"> International v Rakousku a pro východní Evropu. Že se </w:t>
      </w:r>
      <w:proofErr w:type="gramStart"/>
      <w:r w:rsidRPr="002A18AD">
        <w:t>mohou</w:t>
      </w:r>
      <w:proofErr w:type="gramEnd"/>
      <w:r w:rsidRPr="002A18AD">
        <w:t xml:space="preserve"> investoři nechat ukolébat </w:t>
      </w:r>
      <w:proofErr w:type="gramStart"/>
      <w:r w:rsidRPr="002A18AD">
        <w:t>ukázala</w:t>
      </w:r>
      <w:proofErr w:type="gramEnd"/>
      <w:r w:rsidRPr="002A18AD">
        <w:t xml:space="preserve"> okamžitá změna ocenění rizika na evropských periferních trzích po květnových politických otřesech v Itálii. </w:t>
      </w:r>
      <w:r w:rsidRPr="002A18AD">
        <w:rPr>
          <w:i/>
        </w:rPr>
        <w:t>„Považujeme proto za přínosné omezit v tuto chvíli expozici vůči riziku, protože se blíží konec aktuálního cyklu. Nejsme přehnaně pesimističtí, ale v tuto chvíli dáváme přednost tomu, že s sebou za slunného dne budeme zbytečně nosit deštník, než abychom situaci podcenili a zmokli v těch nejlepších šatech,“</w:t>
      </w:r>
      <w:r w:rsidRPr="002A18AD">
        <w:t xml:space="preserve"> shrnuje Adam </w:t>
      </w:r>
      <w:proofErr w:type="spellStart"/>
      <w:r w:rsidRPr="002A18AD">
        <w:t>Lessing</w:t>
      </w:r>
      <w:proofErr w:type="spellEnd"/>
      <w:r w:rsidRPr="002A18AD">
        <w:t>.</w:t>
      </w:r>
    </w:p>
    <w:p w14:paraId="41F927E4" w14:textId="77777777" w:rsidR="002A18AD" w:rsidRPr="002A18AD" w:rsidRDefault="002A18AD" w:rsidP="002A1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2"/>
        </w:rPr>
      </w:pPr>
    </w:p>
    <w:p w14:paraId="0E7C3C69" w14:textId="77777777" w:rsidR="002A18AD" w:rsidRPr="002A18AD" w:rsidRDefault="002A18AD" w:rsidP="002A18AD">
      <w:pPr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lastRenderedPageBreak/>
        <w:t xml:space="preserve">Akcie podle </w:t>
      </w:r>
      <w:proofErr w:type="spellStart"/>
      <w:r w:rsidRPr="002A18AD">
        <w:rPr>
          <w:rFonts w:cs="Times New Roman"/>
          <w:sz w:val="22"/>
        </w:rPr>
        <w:t>Fidelity</w:t>
      </w:r>
      <w:proofErr w:type="spellEnd"/>
      <w:r w:rsidRPr="002A18AD">
        <w:rPr>
          <w:rFonts w:cs="Times New Roman"/>
          <w:sz w:val="22"/>
        </w:rPr>
        <w:t xml:space="preserve"> International vstoupily do fáze konsolidace. O tom, co bude mít hlavní vliv na dění na trzích, rozhodne vzájemné soupeření solidních fundamentů a růstu zisků na jedné straně a zpřísňování politik centrálních bank, politická rizika a obchodní války na straně druhé. Výsledkem bude podle </w:t>
      </w:r>
      <w:proofErr w:type="spellStart"/>
      <w:r w:rsidRPr="002A18AD">
        <w:rPr>
          <w:rFonts w:cs="Times New Roman"/>
          <w:sz w:val="22"/>
        </w:rPr>
        <w:t>Fidelity</w:t>
      </w:r>
      <w:proofErr w:type="spellEnd"/>
      <w:r w:rsidRPr="002A18AD">
        <w:rPr>
          <w:rFonts w:cs="Times New Roman"/>
          <w:sz w:val="22"/>
        </w:rPr>
        <w:t xml:space="preserve"> </w:t>
      </w:r>
      <w:proofErr w:type="spellStart"/>
      <w:r w:rsidRPr="002A18AD">
        <w:rPr>
          <w:rFonts w:cs="Times New Roman"/>
          <w:sz w:val="22"/>
        </w:rPr>
        <w:t>Interrnational</w:t>
      </w:r>
      <w:proofErr w:type="spellEnd"/>
      <w:r w:rsidRPr="002A18AD">
        <w:rPr>
          <w:rFonts w:cs="Times New Roman"/>
          <w:sz w:val="22"/>
        </w:rPr>
        <w:t xml:space="preserve"> prostředí s vyšší volatilitou, které může vést k nárůstu rizika, ale zároveň může představovat příležitosti způsobené nesprávným odhadem ocenění ze strany trhu.</w:t>
      </w:r>
    </w:p>
    <w:p w14:paraId="4F262ECF" w14:textId="77777777" w:rsidR="002A18AD" w:rsidRPr="002A18AD" w:rsidRDefault="002A18AD" w:rsidP="002A18AD">
      <w:pPr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t xml:space="preserve">V USA se likvidní podmínky utahují, zatímco v Evropě a v Japonsku jsou stále ještě poměrně uvolněné. Střednědobý výhled pro USA zůstává silný vzhledem ke slušným korporátním výnosům, příznivému makroprostředí, silným datům z trhu práce i rostoucím kapitálovým výdajům. </w:t>
      </w:r>
      <w:r w:rsidRPr="002A18AD">
        <w:rPr>
          <w:rFonts w:cs="Times New Roman"/>
          <w:i/>
          <w:sz w:val="22"/>
        </w:rPr>
        <w:t xml:space="preserve">„Malá skupina technologických akcií e i tento </w:t>
      </w:r>
      <w:proofErr w:type="gramStart"/>
      <w:r w:rsidRPr="002A18AD">
        <w:rPr>
          <w:rFonts w:cs="Times New Roman"/>
          <w:i/>
          <w:sz w:val="22"/>
        </w:rPr>
        <w:t>rok v táhne</w:t>
      </w:r>
      <w:proofErr w:type="gramEnd"/>
      <w:r w:rsidRPr="002A18AD">
        <w:rPr>
          <w:rFonts w:cs="Times New Roman"/>
          <w:i/>
          <w:sz w:val="22"/>
        </w:rPr>
        <w:t xml:space="preserve"> trh, avšak tuto situaci vnímáme jako nezdravou. V tuto chvíli se řada účastníků trhu neodváží investovat jinam, ačkoliv už nyní zaznamenáváme, že to vytváří nesprávná ocenění,“</w:t>
      </w:r>
      <w:r w:rsidRPr="002A18AD">
        <w:rPr>
          <w:rFonts w:cs="Times New Roman"/>
          <w:sz w:val="22"/>
        </w:rPr>
        <w:t xml:space="preserve"> doplňuje A. </w:t>
      </w:r>
      <w:proofErr w:type="spellStart"/>
      <w:r w:rsidRPr="002A18AD">
        <w:rPr>
          <w:rFonts w:cs="Times New Roman"/>
          <w:sz w:val="22"/>
        </w:rPr>
        <w:t>Lessing</w:t>
      </w:r>
      <w:proofErr w:type="spellEnd"/>
      <w:r w:rsidRPr="002A18AD">
        <w:rPr>
          <w:rFonts w:cs="Times New Roman"/>
          <w:sz w:val="22"/>
        </w:rPr>
        <w:t xml:space="preserve"> z </w:t>
      </w:r>
      <w:proofErr w:type="spellStart"/>
      <w:r w:rsidRPr="002A18AD">
        <w:rPr>
          <w:rFonts w:cs="Times New Roman"/>
          <w:sz w:val="22"/>
        </w:rPr>
        <w:t>Fidelity</w:t>
      </w:r>
      <w:proofErr w:type="spellEnd"/>
      <w:r w:rsidRPr="002A18AD">
        <w:rPr>
          <w:rFonts w:cs="Times New Roman"/>
          <w:sz w:val="22"/>
        </w:rPr>
        <w:t xml:space="preserve"> International.</w:t>
      </w:r>
    </w:p>
    <w:p w14:paraId="06DE8A8D" w14:textId="77777777" w:rsidR="002A18AD" w:rsidRPr="002A18AD" w:rsidRDefault="002A18AD" w:rsidP="002A18AD">
      <w:pPr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t xml:space="preserve">Zajímavá jsou ekonomická data a politický vývoj v Německu, protože bez silného Německa bude vypadat Evropa dost vratce. </w:t>
      </w:r>
    </w:p>
    <w:p w14:paraId="2276046A" w14:textId="77777777" w:rsidR="002A18AD" w:rsidRPr="002A18AD" w:rsidRDefault="002A18AD" w:rsidP="002A18AD">
      <w:pPr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t xml:space="preserve">Čína si žádá ostražitost, protože jakékoliv zpomalení bude mít vliv na zbytek Asie. </w:t>
      </w:r>
      <w:r w:rsidRPr="002A18AD">
        <w:rPr>
          <w:rFonts w:cs="Times New Roman"/>
          <w:i/>
          <w:sz w:val="22"/>
        </w:rPr>
        <w:t xml:space="preserve">„Zaznamenáváme hromadící se rizika v Číně – rostoucí riziko defaultu v druhém čtvrtletí, napjatá situace v mezinárodním obchodě a zpřísňování finančních podmínek v důsledku omezování domácích úvěrů. Výsledkem toho je pokles akciového trhu a znehodnocování </w:t>
      </w:r>
      <w:proofErr w:type="spellStart"/>
      <w:r w:rsidRPr="002A18AD">
        <w:rPr>
          <w:rFonts w:cs="Times New Roman"/>
          <w:i/>
          <w:sz w:val="22"/>
        </w:rPr>
        <w:t>juanu</w:t>
      </w:r>
      <w:proofErr w:type="spellEnd"/>
      <w:r w:rsidRPr="002A18AD">
        <w:rPr>
          <w:rFonts w:cs="Times New Roman"/>
          <w:i/>
          <w:sz w:val="22"/>
        </w:rPr>
        <w:t>. V příštích čtvrtletích očekáváme postupné zpomalování, avšak v tuto chvíli se ekonomika zdá celkem silná a ve středním období nemáme obavy,“</w:t>
      </w:r>
      <w:r w:rsidRPr="002A18AD">
        <w:rPr>
          <w:rFonts w:cs="Times New Roman"/>
          <w:sz w:val="22"/>
        </w:rPr>
        <w:t xml:space="preserve"> dodává </w:t>
      </w:r>
      <w:proofErr w:type="spellStart"/>
      <w:r w:rsidRPr="002A18AD">
        <w:rPr>
          <w:rFonts w:cs="Times New Roman"/>
          <w:sz w:val="22"/>
        </w:rPr>
        <w:t>Lessing</w:t>
      </w:r>
      <w:proofErr w:type="spellEnd"/>
      <w:r w:rsidRPr="002A18AD">
        <w:rPr>
          <w:rFonts w:cs="Times New Roman"/>
          <w:sz w:val="22"/>
        </w:rPr>
        <w:t>.</w:t>
      </w:r>
    </w:p>
    <w:p w14:paraId="24940B09" w14:textId="77777777" w:rsidR="002A18AD" w:rsidRPr="002A18AD" w:rsidRDefault="002A18AD" w:rsidP="002A18AD">
      <w:pPr>
        <w:spacing w:line="360" w:lineRule="auto"/>
        <w:rPr>
          <w:rFonts w:cs="Times New Roman"/>
          <w:sz w:val="22"/>
        </w:rPr>
      </w:pPr>
      <w:r w:rsidRPr="002A18AD">
        <w:rPr>
          <w:rFonts w:cs="Times New Roman"/>
          <w:sz w:val="22"/>
        </w:rPr>
        <w:t xml:space="preserve">V Asii ale analytici zaznamenali optimismus, a to navzdory růstu výnosů v USA. Ačkoliv dopad obchodní války by měl z ekonomického hlediska být spíš malý, růst nejistoty s tím související už v tuto chvíli způsobuje změny v náladách investorů. </w:t>
      </w:r>
    </w:p>
    <w:p w14:paraId="5E781868" w14:textId="77777777" w:rsidR="002A18AD" w:rsidRPr="002A18AD" w:rsidRDefault="002A18AD" w:rsidP="002A18AD">
      <w:pPr>
        <w:spacing w:line="360" w:lineRule="auto"/>
        <w:rPr>
          <w:rFonts w:cs="Times New Roman"/>
          <w:sz w:val="22"/>
        </w:rPr>
      </w:pPr>
      <w:bookmarkStart w:id="0" w:name="_GoBack"/>
      <w:r w:rsidRPr="002A18AD">
        <w:rPr>
          <w:rFonts w:cs="Times New Roman"/>
          <w:i/>
          <w:sz w:val="22"/>
        </w:rPr>
        <w:t>„Navzdory této nejistotě, jsme se posunuli k neutrálnímu výhledu v oblasti akcií, což je první změna od roku 2009. Cítíme, že dramatické přehodnocení situace u akcií je nepravděpodobné a je zde možnost, že náš postoj vůči akciím se opět změní ještě před koncem letošního roku,“</w:t>
      </w:r>
      <w:r w:rsidRPr="002A18AD">
        <w:rPr>
          <w:rFonts w:cs="Times New Roman"/>
          <w:sz w:val="22"/>
        </w:rPr>
        <w:t xml:space="preserve"> </w:t>
      </w:r>
      <w:bookmarkEnd w:id="0"/>
      <w:r w:rsidRPr="002A18AD">
        <w:rPr>
          <w:rFonts w:cs="Times New Roman"/>
          <w:sz w:val="22"/>
        </w:rPr>
        <w:t xml:space="preserve">shrnuje Adam </w:t>
      </w:r>
      <w:proofErr w:type="spellStart"/>
      <w:r w:rsidRPr="002A18AD">
        <w:rPr>
          <w:rFonts w:cs="Times New Roman"/>
          <w:sz w:val="22"/>
        </w:rPr>
        <w:t>Lessing</w:t>
      </w:r>
      <w:proofErr w:type="spellEnd"/>
      <w:r w:rsidRPr="002A18AD">
        <w:rPr>
          <w:rFonts w:cs="Times New Roman"/>
          <w:sz w:val="22"/>
        </w:rPr>
        <w:t xml:space="preserve">, ředitel </w:t>
      </w:r>
      <w:proofErr w:type="spellStart"/>
      <w:r w:rsidRPr="002A18AD">
        <w:rPr>
          <w:rFonts w:cs="Times New Roman"/>
          <w:sz w:val="22"/>
        </w:rPr>
        <w:t>Fidelity</w:t>
      </w:r>
      <w:proofErr w:type="spellEnd"/>
      <w:r w:rsidRPr="002A18AD">
        <w:rPr>
          <w:rFonts w:cs="Times New Roman"/>
          <w:sz w:val="22"/>
        </w:rPr>
        <w:t xml:space="preserve"> International v Rakousku a pro východní Evropu.</w:t>
      </w:r>
    </w:p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 xml:space="preserve">Marcela </w:t>
        </w:r>
        <w:proofErr w:type="spellStart"/>
        <w:r w:rsidRPr="001F2220">
          <w:rPr>
            <w:b/>
            <w:bCs/>
          </w:rPr>
          <w:t>Štefcová</w:t>
        </w:r>
      </w:smartTag>
      <w:proofErr w:type="spellEnd"/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lastRenderedPageBreak/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1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International, logo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</w:t>
      </w:r>
      <w:r w:rsidRPr="00681745">
        <w:rPr>
          <w:color w:val="000000"/>
          <w:sz w:val="18"/>
          <w:szCs w:val="18"/>
          <w:lang w:val="en-US"/>
        </w:rPr>
        <w:lastRenderedPageBreak/>
        <w:t>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79783" w16cid:durableId="1F0D8F2B"/>
  <w16cid:commentId w16cid:paraId="0131AA42" w16cid:durableId="1F0D8F2C"/>
  <w16cid:commentId w16cid:paraId="2EA4A9EE" w16cid:durableId="1F0D8FAE"/>
  <w16cid:commentId w16cid:paraId="0437E195" w16cid:durableId="1F0D8FFF"/>
  <w16cid:commentId w16cid:paraId="2F41EB62" w16cid:durableId="1F0D8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038F6" w14:textId="77777777" w:rsidR="00635445" w:rsidRDefault="00635445">
      <w:r>
        <w:separator/>
      </w:r>
    </w:p>
  </w:endnote>
  <w:endnote w:type="continuationSeparator" w:id="0">
    <w:p w14:paraId="0624D57C" w14:textId="77777777" w:rsidR="00635445" w:rsidRDefault="0063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1B5AD" w14:textId="77777777" w:rsidR="00635445" w:rsidRDefault="00635445">
      <w:r>
        <w:separator/>
      </w:r>
    </w:p>
  </w:footnote>
  <w:footnote w:type="continuationSeparator" w:id="0">
    <w:p w14:paraId="5541A64F" w14:textId="77777777" w:rsidR="00635445" w:rsidRDefault="00635445">
      <w:r>
        <w:continuationSeparator/>
      </w:r>
    </w:p>
  </w:footnote>
  <w:footnote w:type="continuationNotice" w:id="1">
    <w:p w14:paraId="5F94E2D4" w14:textId="77777777" w:rsidR="00635445" w:rsidRDefault="006354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v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v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delity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delity.cz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6078-2129-4999-AF98-99754CCD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Serhantova</cp:lastModifiedBy>
  <cp:revision>2</cp:revision>
  <cp:lastPrinted>2018-03-06T14:32:00Z</cp:lastPrinted>
  <dcterms:created xsi:type="dcterms:W3CDTF">2018-08-11T06:00:00Z</dcterms:created>
  <dcterms:modified xsi:type="dcterms:W3CDTF">2018-08-11T06:00:00Z</dcterms:modified>
</cp:coreProperties>
</file>